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56" w:rsidRPr="006F7C74" w:rsidRDefault="008941BD" w:rsidP="008941BD">
      <w:pPr>
        <w:spacing w:before="240" w:after="240" w:line="360" w:lineRule="auto"/>
        <w:jc w:val="center"/>
        <w:rPr>
          <w:b/>
          <w:sz w:val="32"/>
          <w:szCs w:val="32"/>
        </w:rPr>
      </w:pPr>
      <w:r w:rsidRPr="006F7C74">
        <w:rPr>
          <w:rFonts w:hint="eastAsia"/>
          <w:b/>
          <w:sz w:val="32"/>
          <w:szCs w:val="32"/>
        </w:rPr>
        <w:t>2015-2016</w:t>
      </w:r>
      <w:r w:rsidRPr="006F7C74">
        <w:rPr>
          <w:rFonts w:hint="eastAsia"/>
          <w:b/>
          <w:sz w:val="32"/>
          <w:szCs w:val="32"/>
        </w:rPr>
        <w:t>学年第二学期研究生课程网上评教的通知</w:t>
      </w:r>
    </w:p>
    <w:p w:rsidR="006F7C74" w:rsidRDefault="008941BD" w:rsidP="008941BD">
      <w:pPr>
        <w:spacing w:before="240" w:after="240" w:line="360" w:lineRule="auto"/>
        <w:ind w:firstLineChars="177" w:firstLine="42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201</w:t>
      </w:r>
      <w:r w:rsidR="006F7C74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宋体" w:eastAsia="宋体" w:hAnsi="宋体" w:cs="Times New Roman" w:hint="eastAsia"/>
          <w:sz w:val="24"/>
          <w:szCs w:val="24"/>
        </w:rPr>
        <w:t>-201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宋体" w:eastAsia="宋体" w:hAnsi="宋体" w:cs="Times New Roman" w:hint="eastAsia"/>
          <w:sz w:val="24"/>
          <w:szCs w:val="24"/>
        </w:rPr>
        <w:t>学年第二学期</w:t>
      </w:r>
      <w:r w:rsidR="006F7C74" w:rsidRPr="006F7C74">
        <w:rPr>
          <w:rFonts w:ascii="宋体" w:eastAsia="宋体" w:hAnsi="宋体" w:cs="Times New Roman"/>
          <w:sz w:val="24"/>
          <w:szCs w:val="24"/>
        </w:rPr>
        <w:t>研究生课程的教学质量评估——研究生网上评教工作即将启动。</w:t>
      </w:r>
      <w:r>
        <w:rPr>
          <w:rFonts w:ascii="宋体" w:eastAsia="宋体" w:hAnsi="宋体" w:cs="Times New Roman" w:hint="eastAsia"/>
          <w:sz w:val="24"/>
          <w:szCs w:val="24"/>
        </w:rPr>
        <w:t>研究生网上选课，安排在上海</w:t>
      </w:r>
      <w:r>
        <w:rPr>
          <w:rFonts w:ascii="Times New Roman" w:eastAsia="宋体" w:hAnsi="Times New Roman" w:cs="Times New Roman"/>
          <w:sz w:val="24"/>
          <w:szCs w:val="24"/>
        </w:rPr>
        <w:t>财经大学</w:t>
      </w:r>
      <w:r>
        <w:rPr>
          <w:rFonts w:ascii="宋体" w:eastAsia="宋体" w:hAnsi="宋体" w:cs="Times New Roman" w:hint="eastAsia"/>
          <w:sz w:val="24"/>
          <w:szCs w:val="24"/>
        </w:rPr>
        <w:t>“</w:t>
      </w:r>
      <w:r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t>上财</w:t>
      </w:r>
      <w:r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门户</w:t>
      </w:r>
      <w:r>
        <w:rPr>
          <w:rFonts w:ascii="宋体" w:eastAsia="宋体" w:hAnsi="宋体" w:cs="Times New Roman" w:hint="eastAsia"/>
          <w:sz w:val="24"/>
          <w:szCs w:val="24"/>
        </w:rPr>
        <w:t>”系统（以下</w:t>
      </w:r>
      <w:r>
        <w:rPr>
          <w:rFonts w:ascii="Times New Roman" w:eastAsia="宋体" w:hAnsi="Times New Roman" w:cs="Times New Roman"/>
          <w:sz w:val="24"/>
          <w:szCs w:val="24"/>
        </w:rPr>
        <w:t>简称</w:t>
      </w:r>
      <w:r>
        <w:rPr>
          <w:rFonts w:ascii="宋体" w:eastAsia="宋体" w:hAnsi="宋体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门户</w:t>
      </w:r>
      <w:r>
        <w:rPr>
          <w:rFonts w:ascii="宋体" w:eastAsia="宋体" w:hAnsi="宋体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（</w:t>
      </w:r>
      <w:hyperlink r:id="rId6" w:history="1">
        <w:r>
          <w:rPr>
            <w:rFonts w:ascii="Times New Roman" w:eastAsia="宋体" w:hAnsi="Times New Roman" w:cs="Times New Roman"/>
            <w:b/>
            <w:bCs/>
            <w:color w:val="0000FF"/>
            <w:sz w:val="24"/>
            <w:szCs w:val="24"/>
            <w:u w:val="single"/>
          </w:rPr>
          <w:t>http://portal.sufe.edu.cn</w:t>
        </w:r>
      </w:hyperlink>
      <w:r>
        <w:rPr>
          <w:rFonts w:ascii="宋体" w:eastAsia="宋体" w:hAnsi="宋体" w:cs="Times New Roman" w:hint="eastAsia"/>
          <w:b/>
          <w:bCs/>
          <w:sz w:val="24"/>
          <w:szCs w:val="24"/>
        </w:rPr>
        <w:t>）</w:t>
      </w:r>
      <w:r>
        <w:rPr>
          <w:rFonts w:ascii="宋体" w:eastAsia="宋体" w:hAnsi="宋体" w:cs="Times New Roman" w:hint="eastAsia"/>
          <w:sz w:val="24"/>
          <w:szCs w:val="24"/>
        </w:rPr>
        <w:t>中进行，</w:t>
      </w:r>
      <w:r w:rsidR="006F7C74">
        <w:rPr>
          <w:rFonts w:ascii="宋体" w:eastAsia="宋体" w:hAnsi="宋体" w:cs="Times New Roman"/>
          <w:sz w:val="24"/>
          <w:szCs w:val="24"/>
        </w:rPr>
        <w:t>对本学期全校研究生课程教学的质量进行全面的评估</w:t>
      </w:r>
      <w:r w:rsidR="006F7C74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E53F56" w:rsidRDefault="006F7C74" w:rsidP="008941BD">
      <w:pPr>
        <w:spacing w:before="240" w:after="240" w:line="360" w:lineRule="auto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6F7C74">
        <w:rPr>
          <w:rFonts w:ascii="宋体" w:eastAsia="宋体" w:hAnsi="宋体" w:cs="Times New Roman"/>
          <w:sz w:val="24"/>
          <w:szCs w:val="24"/>
        </w:rPr>
        <w:t>学生只有完成网上评教后，才能进入“上财门户”-“教学系统”模块中的其它选项，如下学期选课等，因此学生务必及时完成评教，以免在下学期选课时网路不畅、选课困难等。</w:t>
      </w:r>
      <w:r w:rsidR="008941BD">
        <w:rPr>
          <w:rFonts w:ascii="宋体" w:eastAsia="宋体" w:hAnsi="宋体" w:cs="Times New Roman" w:hint="eastAsia"/>
          <w:sz w:val="24"/>
          <w:szCs w:val="24"/>
        </w:rPr>
        <w:t>具体要求通知如下：</w:t>
      </w:r>
    </w:p>
    <w:p w:rsidR="00E53F56" w:rsidRDefault="008941BD" w:rsidP="008941BD">
      <w:pPr>
        <w:spacing w:before="240" w:after="240" w:line="360" w:lineRule="auto"/>
        <w:rPr>
          <w:rFonts w:ascii="黑体" w:eastAsia="黑体" w:hAnsi="宋体" w:cs="Times New Roman"/>
          <w:b/>
          <w:bCs/>
          <w:sz w:val="28"/>
          <w:szCs w:val="28"/>
        </w:rPr>
      </w:pPr>
      <w:r>
        <w:rPr>
          <w:rFonts w:ascii="黑体" w:eastAsia="黑体" w:hAnsi="宋体" w:cs="Times New Roman" w:hint="eastAsia"/>
          <w:b/>
          <w:bCs/>
          <w:sz w:val="28"/>
          <w:szCs w:val="28"/>
        </w:rPr>
        <w:t>一、网上评教安排</w:t>
      </w:r>
    </w:p>
    <w:p w:rsidR="00E53F56" w:rsidRPr="006F7C74" w:rsidRDefault="008941BD" w:rsidP="008941BD">
      <w:pPr>
        <w:numPr>
          <w:ilvl w:val="0"/>
          <w:numId w:val="1"/>
        </w:numPr>
        <w:spacing w:before="240" w:after="240" w:line="360" w:lineRule="auto"/>
        <w:ind w:leftChars="68" w:left="567" w:hangingChars="151" w:hanging="424"/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2016</w:t>
      </w:r>
      <w:r>
        <w:rPr>
          <w:rFonts w:ascii="Times New Roman" w:eastAsia="宋体" w:hAnsi="宋体" w:cs="Times New Roman"/>
          <w:b/>
          <w:bCs/>
          <w:color w:val="FF0000"/>
          <w:sz w:val="28"/>
          <w:szCs w:val="28"/>
        </w:rPr>
        <w:t>年</w:t>
      </w:r>
      <w: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6</w:t>
      </w:r>
      <w:r>
        <w:rPr>
          <w:rFonts w:ascii="宋体" w:eastAsia="宋体" w:hAnsi="宋体" w:cs="Times New Roman"/>
          <w:b/>
          <w:bCs/>
          <w:color w:val="FF0000"/>
          <w:sz w:val="28"/>
          <w:szCs w:val="28"/>
        </w:rPr>
        <w:t>月</w:t>
      </w:r>
      <w: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24</w:t>
      </w:r>
      <w:r>
        <w:rPr>
          <w:rFonts w:ascii="宋体" w:eastAsia="宋体" w:hAnsi="宋体" w:cs="Times New Roman"/>
          <w:b/>
          <w:bCs/>
          <w:color w:val="FF0000"/>
          <w:sz w:val="28"/>
          <w:szCs w:val="28"/>
        </w:rPr>
        <w:t>日（周</w:t>
      </w:r>
      <w:r>
        <w:rPr>
          <w:rFonts w:ascii="宋体" w:eastAsia="宋体" w:hAnsi="宋体" w:cs="Times New Roman" w:hint="eastAsia"/>
          <w:b/>
          <w:bCs/>
          <w:color w:val="FF0000"/>
          <w:sz w:val="28"/>
          <w:szCs w:val="28"/>
        </w:rPr>
        <w:t>五</w:t>
      </w:r>
      <w:r>
        <w:rPr>
          <w:rFonts w:ascii="Times New Roman" w:eastAsia="宋体" w:hAnsi="宋体" w:cs="Times New Roman"/>
          <w:b/>
          <w:bCs/>
          <w:color w:val="FF0000"/>
          <w:sz w:val="28"/>
          <w:szCs w:val="28"/>
        </w:rPr>
        <w:t>）</w:t>
      </w:r>
      <w: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bCs/>
          <w:color w:val="FF0000"/>
          <w:sz w:val="28"/>
          <w:szCs w:val="28"/>
        </w:rPr>
        <w:t>—</w:t>
      </w:r>
      <w: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 xml:space="preserve"> 9</w:t>
      </w:r>
      <w:r>
        <w:rPr>
          <w:rFonts w:ascii="Times New Roman" w:eastAsia="宋体" w:hAnsi="宋体" w:cs="Times New Roman"/>
          <w:b/>
          <w:bCs/>
          <w:color w:val="FF0000"/>
          <w:sz w:val="28"/>
          <w:szCs w:val="28"/>
        </w:rPr>
        <w:t>月</w:t>
      </w:r>
      <w: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9</w:t>
      </w:r>
      <w:r>
        <w:rPr>
          <w:rFonts w:ascii="宋体" w:eastAsia="宋体" w:hAnsi="宋体" w:cs="Times New Roman"/>
          <w:b/>
          <w:bCs/>
          <w:color w:val="FF0000"/>
          <w:sz w:val="28"/>
          <w:szCs w:val="28"/>
        </w:rPr>
        <w:t>日（周</w:t>
      </w:r>
      <w:r>
        <w:rPr>
          <w:rFonts w:ascii="宋体" w:eastAsia="宋体" w:hAnsi="宋体" w:cs="Times New Roman" w:hint="eastAsia"/>
          <w:b/>
          <w:bCs/>
          <w:color w:val="FF0000"/>
          <w:sz w:val="28"/>
          <w:szCs w:val="28"/>
        </w:rPr>
        <w:t>五</w:t>
      </w:r>
      <w:r>
        <w:rPr>
          <w:rFonts w:ascii="Times New Roman" w:eastAsia="宋体" w:hAnsi="宋体" w:cs="Times New Roman"/>
          <w:b/>
          <w:bCs/>
          <w:color w:val="FF0000"/>
          <w:sz w:val="28"/>
          <w:szCs w:val="28"/>
        </w:rPr>
        <w:t>）</w:t>
      </w:r>
    </w:p>
    <w:p w:rsidR="006F7C74" w:rsidRDefault="006F7C74" w:rsidP="008941BD">
      <w:pPr>
        <w:numPr>
          <w:ilvl w:val="0"/>
          <w:numId w:val="1"/>
        </w:numPr>
        <w:spacing w:before="240" w:after="240" w:line="360" w:lineRule="auto"/>
        <w:ind w:leftChars="68" w:left="567" w:hangingChars="151" w:hanging="424"/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</w:pPr>
      <w:r w:rsidRPr="006F7C74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评教对象：本学期硕士研究生、博士研究生的所有课程的任课教师，无论课程属何性质（必修课、选修课）都须参评。</w:t>
      </w:r>
    </w:p>
    <w:p w:rsidR="006F7C74" w:rsidRDefault="006F7C74" w:rsidP="008941BD">
      <w:pPr>
        <w:numPr>
          <w:ilvl w:val="0"/>
          <w:numId w:val="1"/>
        </w:numPr>
        <w:spacing w:before="240" w:after="240" w:line="360" w:lineRule="auto"/>
        <w:ind w:leftChars="68" w:left="567" w:hangingChars="151" w:hanging="424"/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</w:pPr>
      <w:r w:rsidRPr="006F7C74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学生可在任何一台能登录</w:t>
      </w:r>
      <w:r w:rsidRPr="006F7C74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“</w:t>
      </w:r>
      <w:r w:rsidRPr="006F7C74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上财门户</w:t>
      </w:r>
      <w:r w:rsidRPr="006F7C74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”</w:t>
      </w:r>
      <w:r w:rsidRPr="006F7C74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的电脑上进行网上评教</w:t>
      </w:r>
      <w:r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。</w:t>
      </w:r>
    </w:p>
    <w:p w:rsidR="00E53F56" w:rsidRDefault="008941BD" w:rsidP="008941BD">
      <w:pPr>
        <w:spacing w:before="240" w:after="240" w:line="360" w:lineRule="auto"/>
        <w:rPr>
          <w:rFonts w:ascii="黑体" w:eastAsia="黑体" w:hAnsi="宋体" w:cs="Times New Roman"/>
          <w:b/>
          <w:bCs/>
          <w:sz w:val="28"/>
          <w:szCs w:val="28"/>
        </w:rPr>
      </w:pPr>
      <w:r>
        <w:rPr>
          <w:rFonts w:ascii="黑体" w:eastAsia="黑体" w:hAnsi="宋体" w:cs="Times New Roman" w:hint="eastAsia"/>
          <w:b/>
          <w:bCs/>
          <w:sz w:val="28"/>
          <w:szCs w:val="28"/>
        </w:rPr>
        <w:t>二、网上操作方法</w:t>
      </w:r>
    </w:p>
    <w:p w:rsidR="00E53F56" w:rsidRDefault="008941BD" w:rsidP="008941BD">
      <w:pPr>
        <w:spacing w:before="240" w:after="240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1、</w:t>
      </w:r>
      <w:r>
        <w:rPr>
          <w:rFonts w:ascii="宋体" w:eastAsia="宋体" w:hAnsi="宋体" w:cs="Times New Roman" w:hint="eastAsia"/>
          <w:sz w:val="24"/>
          <w:szCs w:val="24"/>
        </w:rPr>
        <w:t>请先</w:t>
      </w:r>
      <w:r>
        <w:rPr>
          <w:rFonts w:ascii="Times New Roman" w:eastAsia="宋体" w:hAnsi="Times New Roman" w:cs="Times New Roman"/>
          <w:sz w:val="24"/>
          <w:szCs w:val="24"/>
        </w:rPr>
        <w:t>登录</w:t>
      </w:r>
      <w:r>
        <w:rPr>
          <w:rFonts w:ascii="宋体" w:eastAsia="宋体" w:hAnsi="宋体" w:cs="Times New Roman" w:hint="eastAsia"/>
          <w:sz w:val="24"/>
          <w:szCs w:val="24"/>
        </w:rPr>
        <w:t>“</w:t>
      </w:r>
      <w:r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t>上财门户</w:t>
      </w:r>
      <w:r>
        <w:rPr>
          <w:rFonts w:ascii="宋体" w:eastAsia="宋体" w:hAnsi="宋体" w:cs="Times New Roman" w:hint="eastAsia"/>
          <w:sz w:val="24"/>
          <w:szCs w:val="24"/>
        </w:rPr>
        <w:t>”系统，进入“</w:t>
      </w:r>
      <w:r>
        <w:rPr>
          <w:rFonts w:ascii="Times New Roman" w:eastAsia="宋体" w:hAnsi="Times New Roman" w:cs="Times New Roman"/>
          <w:sz w:val="24"/>
          <w:szCs w:val="24"/>
        </w:rPr>
        <w:t>我的首页</w:t>
      </w:r>
      <w:r>
        <w:rPr>
          <w:rFonts w:ascii="宋体" w:eastAsia="宋体" w:hAnsi="宋体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宋体" w:eastAsia="宋体" w:hAnsi="宋体" w:cs="Times New Roman" w:hint="eastAsia"/>
          <w:sz w:val="24"/>
          <w:szCs w:val="24"/>
        </w:rPr>
        <w:t>于“</w:t>
      </w:r>
      <w:r>
        <w:rPr>
          <w:rFonts w:ascii="Times New Roman" w:eastAsia="宋体" w:hAnsi="Times New Roman" w:cs="Times New Roman" w:hint="eastAsia"/>
          <w:sz w:val="24"/>
          <w:szCs w:val="24"/>
        </w:rPr>
        <w:t>重点</w:t>
      </w:r>
      <w:r>
        <w:rPr>
          <w:rFonts w:ascii="Times New Roman" w:eastAsia="宋体" w:hAnsi="Times New Roman" w:cs="Times New Roman"/>
          <w:sz w:val="24"/>
          <w:szCs w:val="24"/>
        </w:rPr>
        <w:t>推荐</w:t>
      </w:r>
      <w:r>
        <w:rPr>
          <w:rFonts w:ascii="宋体" w:eastAsia="宋体" w:hAnsi="宋体" w:cs="Times New Roman" w:hint="eastAsia"/>
          <w:sz w:val="24"/>
          <w:szCs w:val="24"/>
        </w:rPr>
        <w:t>”选项下</w:t>
      </w:r>
      <w:r>
        <w:rPr>
          <w:rFonts w:ascii="Times New Roman" w:eastAsia="宋体" w:hAnsi="Times New Roman" w:cs="Times New Roman"/>
          <w:sz w:val="24"/>
          <w:szCs w:val="24"/>
        </w:rPr>
        <w:t>进入</w:t>
      </w:r>
      <w:r>
        <w:rPr>
          <w:rFonts w:ascii="宋体" w:eastAsia="宋体" w:hAnsi="宋体" w:cs="Times New Roman" w:hint="eastAsia"/>
          <w:sz w:val="24"/>
          <w:szCs w:val="24"/>
        </w:rPr>
        <w:t>“评教”模块。登录系统后，网上选课操作</w:t>
      </w:r>
      <w:r>
        <w:rPr>
          <w:rFonts w:ascii="Times New Roman" w:eastAsia="宋体" w:hAnsi="Times New Roman" w:cs="Times New Roman"/>
          <w:sz w:val="24"/>
          <w:szCs w:val="24"/>
        </w:rPr>
        <w:t>方法如下图示。</w:t>
      </w:r>
    </w:p>
    <w:p w:rsidR="00E53F56" w:rsidRDefault="00E53F56" w:rsidP="008941BD">
      <w:pPr>
        <w:spacing w:before="240" w:after="240" w:line="360" w:lineRule="auto"/>
      </w:pPr>
    </w:p>
    <w:p w:rsidR="00E53F56" w:rsidRDefault="008941BD" w:rsidP="008941BD">
      <w:pPr>
        <w:spacing w:before="240" w:after="240" w:line="360" w:lineRule="auto"/>
      </w:pPr>
      <w:r>
        <w:rPr>
          <w:noProof/>
        </w:rPr>
        <w:lastRenderedPageBreak/>
        <w:drawing>
          <wp:inline distT="0" distB="0" distL="0" distR="0">
            <wp:extent cx="5274310" cy="4237990"/>
            <wp:effectExtent l="0" t="0" r="2540" b="0"/>
            <wp:docPr id="1" name="图片 1" descr="C:\Users\Li Xinying\Desktop\评教\228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 Xinying\Desktop\评教\228D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56" w:rsidRDefault="008941BD" w:rsidP="008941BD">
      <w:pPr>
        <w:spacing w:before="240" w:after="240" w:line="360" w:lineRule="auto"/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进入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评教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模块后</w:t>
      </w:r>
      <w:r>
        <w:rPr>
          <w:rFonts w:hint="eastAsia"/>
          <w:sz w:val="24"/>
          <w:szCs w:val="24"/>
        </w:rPr>
        <w:t>，在“待评教活动”中找到正在进行的评教活动后，点击“进入评教”。</w:t>
      </w:r>
    </w:p>
    <w:p w:rsidR="00E53F56" w:rsidRDefault="008941BD" w:rsidP="008941BD">
      <w:pPr>
        <w:spacing w:before="240" w:after="240" w:line="360" w:lineRule="auto"/>
      </w:pPr>
      <w:r>
        <w:rPr>
          <w:noProof/>
        </w:rPr>
        <w:drawing>
          <wp:inline distT="0" distB="0" distL="0" distR="0">
            <wp:extent cx="5274310" cy="1889125"/>
            <wp:effectExtent l="0" t="0" r="2540" b="0"/>
            <wp:docPr id="2" name="图片 2" descr="C:\Users\Li Xinying\Desktop\评教\B8B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 Xinying\Desktop\评教\B8B6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56" w:rsidRDefault="008941BD" w:rsidP="008941BD">
      <w:pPr>
        <w:spacing w:before="240" w:after="24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进入评教后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首先对需要评教的课程</w:t>
      </w:r>
      <w:r>
        <w:rPr>
          <w:rFonts w:hint="eastAsia"/>
          <w:sz w:val="24"/>
          <w:szCs w:val="24"/>
        </w:rPr>
        <w:t>，整体</w:t>
      </w:r>
      <w:r>
        <w:rPr>
          <w:sz w:val="24"/>
          <w:szCs w:val="24"/>
        </w:rPr>
        <w:t>进行排序</w:t>
      </w:r>
      <w:r>
        <w:rPr>
          <w:rFonts w:hint="eastAsia"/>
          <w:sz w:val="24"/>
          <w:szCs w:val="24"/>
        </w:rPr>
        <w:t>，之后点击下一步，进入问卷评教。</w:t>
      </w:r>
    </w:p>
    <w:p w:rsidR="00E53F56" w:rsidRDefault="008941BD" w:rsidP="008941BD">
      <w:pPr>
        <w:spacing w:before="240" w:after="240" w:line="360" w:lineRule="auto"/>
      </w:pPr>
      <w:r>
        <w:rPr>
          <w:noProof/>
        </w:rPr>
        <w:lastRenderedPageBreak/>
        <w:drawing>
          <wp:inline distT="0" distB="0" distL="0" distR="0">
            <wp:extent cx="5274310" cy="2378075"/>
            <wp:effectExtent l="0" t="0" r="2540" b="3175"/>
            <wp:docPr id="3" name="图片 3" descr="C:\Users\Li Xinying\Desktop\评教\9FB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i Xinying\Desktop\评教\9FB2.t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56" w:rsidRDefault="008941BD" w:rsidP="008941B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对每一门课程都进行问卷评教打分后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点击提交问卷评教信息</w:t>
      </w:r>
      <w:r>
        <w:rPr>
          <w:rFonts w:hint="eastAsia"/>
          <w:sz w:val="24"/>
          <w:szCs w:val="24"/>
        </w:rPr>
        <w:t>。</w:t>
      </w:r>
    </w:p>
    <w:p w:rsidR="00E53F56" w:rsidRDefault="008941BD" w:rsidP="008941BD">
      <w:pPr>
        <w:spacing w:before="240" w:after="240" w:line="360" w:lineRule="auto"/>
      </w:pPr>
      <w:r>
        <w:rPr>
          <w:noProof/>
        </w:rPr>
        <w:drawing>
          <wp:inline distT="0" distB="0" distL="0" distR="0">
            <wp:extent cx="5274310" cy="2454275"/>
            <wp:effectExtent l="0" t="0" r="2540" b="3175"/>
            <wp:docPr id="4" name="图片 4" descr="C:\Users\Li Xinying\Desktop\评教\795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i Xinying\Desktop\评教\7951.t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74" w:rsidRDefault="008941BD" w:rsidP="008941BD">
      <w:pPr>
        <w:spacing w:before="240" w:after="240" w:line="360" w:lineRule="auto"/>
        <w:rPr>
          <w:rFonts w:hint="eastAsia"/>
        </w:rPr>
      </w:pPr>
      <w:r>
        <w:t>5</w:t>
      </w:r>
      <w:r>
        <w:rPr>
          <w:rFonts w:hint="eastAsia"/>
        </w:rPr>
        <w:t>、课程评教结束后，进入“意见建议”模块，依次点击每门课程信息最后的“意见建议”，填写内容后，点击“提交”完成文字评教。</w:t>
      </w:r>
    </w:p>
    <w:p w:rsidR="00E53F56" w:rsidRDefault="008941BD" w:rsidP="008941BD">
      <w:pPr>
        <w:spacing w:before="240" w:after="240" w:line="360" w:lineRule="auto"/>
      </w:pPr>
      <w:r w:rsidRPr="008941BD">
        <w:rPr>
          <w:noProof/>
        </w:rPr>
        <w:lastRenderedPageBreak/>
        <w:drawing>
          <wp:inline distT="0" distB="0" distL="0" distR="0">
            <wp:extent cx="5274310" cy="3184906"/>
            <wp:effectExtent l="0" t="0" r="2540" b="0"/>
            <wp:docPr id="5" name="图片 5" descr="C:\Users\LIXINY~1\AppData\Local\Temp\877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XINY~1\AppData\Local\Temp\8777.t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56" w:rsidRDefault="008941BD" w:rsidP="008941BD">
      <w:pPr>
        <w:spacing w:before="240" w:after="24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</w:rPr>
        <w:t>65903585</w:t>
      </w:r>
      <w:r>
        <w:rPr>
          <w:rFonts w:hint="eastAsia"/>
          <w:sz w:val="24"/>
          <w:szCs w:val="24"/>
        </w:rPr>
        <w:t>，国定路校区研究生院楼</w:t>
      </w:r>
      <w:r>
        <w:rPr>
          <w:rFonts w:hint="eastAsia"/>
          <w:sz w:val="24"/>
          <w:szCs w:val="24"/>
        </w:rPr>
        <w:t>103</w:t>
      </w:r>
      <w:r>
        <w:rPr>
          <w:rFonts w:hint="eastAsia"/>
          <w:sz w:val="24"/>
          <w:szCs w:val="24"/>
        </w:rPr>
        <w:t>室。</w:t>
      </w:r>
    </w:p>
    <w:p w:rsidR="00E53F56" w:rsidRDefault="008941BD" w:rsidP="008941BD">
      <w:pPr>
        <w:spacing w:before="240" w:after="240" w:line="360" w:lineRule="auto"/>
        <w:ind w:leftChars="2903" w:left="6538" w:hangingChars="184" w:hanging="442"/>
        <w:rPr>
          <w:sz w:val="24"/>
          <w:szCs w:val="24"/>
        </w:rPr>
      </w:pPr>
      <w:r>
        <w:rPr>
          <w:rFonts w:hint="eastAsia"/>
          <w:sz w:val="24"/>
          <w:szCs w:val="24"/>
        </w:rPr>
        <w:t>研究生院培养办公室</w:t>
      </w:r>
    </w:p>
    <w:p w:rsidR="00E53F56" w:rsidRDefault="008941BD" w:rsidP="008941BD">
      <w:pPr>
        <w:spacing w:before="240" w:after="240" w:line="360" w:lineRule="auto"/>
        <w:ind w:leftChars="3037" w:left="6539" w:hangingChars="67" w:hanging="161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</w:p>
    <w:sectPr w:rsidR="00E53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2B3"/>
    <w:multiLevelType w:val="multilevel"/>
    <w:tmpl w:val="14C862B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2A"/>
    <w:rsid w:val="00487BF6"/>
    <w:rsid w:val="005A2DD3"/>
    <w:rsid w:val="006F7C74"/>
    <w:rsid w:val="008941BD"/>
    <w:rsid w:val="00A52B8C"/>
    <w:rsid w:val="00D54A29"/>
    <w:rsid w:val="00E53F56"/>
    <w:rsid w:val="00FC012A"/>
    <w:rsid w:val="435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14D6E-5774-4B40-BBDF-FF16CB26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sufe.edu.c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Xinying</dc:creator>
  <cp:lastModifiedBy>Li Xinying</cp:lastModifiedBy>
  <cp:revision>3</cp:revision>
  <dcterms:created xsi:type="dcterms:W3CDTF">2016-06-23T14:32:00Z</dcterms:created>
  <dcterms:modified xsi:type="dcterms:W3CDTF">2016-06-24T11:56:00Z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